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0.5.0.0 -->
  <w:body>
    <w:p>
      <w:pPr>
        <w:spacing w:after="120"/>
        <w:jc w:val="center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南京审计大学实验日志</w:t>
      </w:r>
    </w:p>
    <w:tbl>
      <w:tblPr>
        <w:tblStyle w:val="TableNormal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3041"/>
        <w:gridCol w:w="1100"/>
        <w:gridCol w:w="2473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/>
        </w:trPr>
        <w:tc>
          <w:tcPr>
            <w:tcW w:w="1908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3041" w:type="dxa"/>
            <w:vAlign w:val="center"/>
          </w:tcPr>
          <w:p>
            <w:pPr>
              <w:wordWrap w:val="0"/>
              <w:spacing w:line="600" w:lineRule="auto"/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2025-04-25 13:30-16:50</w:t>
            </w:r>
            <w:bookmarkStart w:id="0" w:name="_GoBack"/>
            <w:bookmarkEnd w:id="0"/>
          </w:p>
        </w:tc>
        <w:tc>
          <w:tcPr>
            <w:tcW w:w="1100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地点</w:t>
            </w:r>
          </w:p>
        </w:tc>
        <w:tc>
          <w:tcPr>
            <w:tcW w:w="2473" w:type="dxa"/>
            <w:vAlign w:val="center"/>
          </w:tcPr>
          <w:p>
            <w:pPr>
              <w:spacing w:line="600" w:lineRule="auto"/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文心楼201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/>
        </w:trPr>
        <w:tc>
          <w:tcPr>
            <w:tcW w:w="1908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实验项目名称</w:t>
            </w:r>
          </w:p>
        </w:tc>
        <w:tc>
          <w:tcPr>
            <w:tcW w:w="6614" w:type="dxa"/>
            <w:gridSpan w:val="3"/>
            <w:vAlign w:val="center"/>
          </w:tcPr>
          <w:p>
            <w:pPr>
              <w:spacing w:line="600" w:lineRule="auto"/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制造业设施设备规划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/>
        </w:trPr>
        <w:tc>
          <w:tcPr>
            <w:tcW w:w="1908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实验类型</w:t>
            </w:r>
          </w:p>
        </w:tc>
        <w:tc>
          <w:tcPr>
            <w:tcW w:w="6614" w:type="dxa"/>
            <w:gridSpan w:val="3"/>
            <w:vAlign w:val="center"/>
          </w:tcPr>
          <w:p>
            <w:pPr>
              <w:spacing w:line="360" w:lineRule="auto"/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综合性实验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实验环境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实验室电脑，一鼎堂教学软件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实验目的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（1）体验设施设备规划过程 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（2）理解设施设备规划的目的和原则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（3）理解系统规划布置设计要素SLP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（4）理解作业相关图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（5）理解装配线平衡的基本方法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</w:rPr>
              <w:t>实验</w:t>
            </w:r>
            <w:r>
              <w:rPr>
                <w:rFonts w:ascii="宋体" w:hAnsi="宋体" w:hint="eastAsia"/>
                <w:sz w:val="24"/>
                <w:lang w:val="en-US" w:eastAsia="zh-CN"/>
              </w:rPr>
              <w:t>要求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设施设备规划动线设置；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完成生产目标；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降低成本，缩短动线。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实验内容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当前有一个空的车间，规划未来需要生产不同的产品，不同产品生产工艺不同。现在需要你采购各种生产机器和工人，并对这个车间进行合理布局，最后进行搬运设置，目的是达到生产要求，并尽量减少或消除不必要的作业，缩短生产周期，减少占地、物料停留、搬运和库存。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1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实验过程和结果</w:t>
            </w:r>
          </w:p>
        </w:tc>
        <w:tc>
          <w:tcPr>
            <w:tcW w:w="6614" w:type="dxa"/>
            <w:gridSpan w:val="3"/>
          </w:tcPr>
          <w:p>
            <w:pPr>
              <w:bidi w:val="0"/>
              <w:spacing w:after="280" w:afterAutospacing="1"/>
              <w:jc w:val="left"/>
              <w:rPr>
                <w:rFonts w:ascii="宋体" w:hAnsi="宋体"/>
                <w:sz w:val="24"/>
              </w:rPr>
            </w:pPr>
            <w:r>
              <w:rPr>
                <w:rtl w:val="0"/>
              </w:rPr>
              <w:t>基于空车间场景，需规划生产不同工艺的产品。首先，依据生产需求采购车床、磨床、钻床、锯床等生产机器及搬运工、质检人员；其次，运用SLP要素与作业相关图，结合产品生产工艺，对车间进行合理布局，确定各设备、工位位置；最后，设置搬运路径与规则，力求达到生产要求，减少非必要作业，缩短生产周期与占地空间，降低物料停留、搬运及库存成本 。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在第一次实验中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1. 资源配置：根据生产任务，在一鼎堂实验教学软件中采购设备与人员，总投入32万元，占用137平车间面积。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2. 布局设计：通过SLP分析各工序物流强度，结合作业相关图确定设备布局，将关联性强的工序（如加工与质检）就近布置。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3. 动线优化：划分多个搬运区域，配置3组搬运工，分散物料运输压力；设置循环搬运路径，减少交叉与折返。</w:t>
            </w:r>
          </w:p>
          <w:p>
            <w:pPr>
              <w:bidi w:val="0"/>
              <w:spacing w:after="280" w:afterAutospacing="1"/>
              <w:jc w:val="left"/>
            </w:pPr>
          </w:p>
          <w:p>
            <w:pPr>
              <w:numPr>
                <w:numId w:val="1"/>
              </w:numPr>
              <w:bidi w:val="0"/>
              <w:spacing w:after="280" w:afterAutospacing="1"/>
              <w:jc w:val="left"/>
              <w:rPr>
                <w:rtl w:val="0"/>
              </w:rPr>
            </w:pPr>
            <w:r>
              <w:rPr>
                <w:rtl w:val="0"/>
              </w:rPr>
              <w:t>生产目标达成情况：超额完成生产任务：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4小时生产零件A 376个（超产34.3%）、零件B 402个（超产34%）；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8小时生产零件A 776个（超产33.8%）、零件B 822个（超产34.7%）。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2. 搬运效率：总搬运次数967次，较分散（原料库25次、搬运1 337次、搬运2 128次、搬运3 477次），动线设计有效降低单一区域负荷。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3. 资源闲置率：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机器闲置率：综合33.63%，质检设备闲置率高达64.97%-65.58%，车床与钻床闲置率30%-37%，磨床与锯床利用率较高（0.08%-0.10%）。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搬运工闲置率：综合78.92%，搬运2闲置率92.13%，反映人力配置可能冗余。</w:t>
            </w:r>
          </w:p>
          <w:p>
            <w:pPr>
              <w:bidi w:val="0"/>
              <w:spacing w:after="280" w:afterAutospacing="1"/>
              <w:jc w:val="left"/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  <w:r>
              <w:rPr>
                <w:rtl w:val="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height:24pt;width:24pt">
                  <v:imagedata r:id="rId5" o:title=""/>
                </v:shape>
              </w:pict>
            </w:r>
            <w:r>
              <w:rPr>
                <w:rtl w:val="0"/>
              </w:rPr>
              <w:commentReference w:id="1"/>
            </w:r>
          </w:p>
          <w:p>
            <w:pPr>
              <w:bidi w:val="0"/>
              <w:spacing w:after="280" w:afterAutospacing="1"/>
              <w:jc w:val="left"/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  <w:r>
              <w:rPr>
                <w:rtl w:val="0"/>
              </w:rPr>
              <w:t>在后期实验中，我依据生产任务与工艺要求完成设备采购与人员配置，显示投入19万元资金，占用91平车间面积。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在布局阶段，尝试运用SLP方法分析物流强度与作业关联度，初步确定设备位置与动线。在搬运设置环节，根据各工序衔接需求，规划搬运路径。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但是最终实验结果显示，生产目标未达成：4小时生产零件A 300个（超产但不均衡）、零件B 293个（未达标）；8小时生产零件A 616个、零件B 593个（均未达标）。搬运次数累计1146次，其中原料库搬运20次、搬运1承担1126次，搬运负担集中。机器闲置率综合平均值17.67%，质检1闲置率高达47.52%；搬运工闲置率综合平均值32.17% ，反映出资源利用效率不足。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pict>
                <v:shape id="_x0000_i1026" type="#_x0000_t75" style="height:24pt;width:24pt">
                  <v:imagedata r:id="rId5" o:title=""/>
                </v:shape>
              </w:pict>
            </w:r>
            <w:r>
              <w:rPr>
                <w:rtl w:val="0"/>
              </w:rPr>
              <w:commentReference w:id="2"/>
            </w:r>
          </w:p>
          <w:p>
            <w:pPr>
              <w:bidi w:val="0"/>
              <w:spacing w:after="280" w:afterAutospacing="1"/>
              <w:jc w:val="left"/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2"/>
        </w:trPr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主要问题及解决方案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第一次实验中：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1.?资源闲置率过高：质检设备与搬运工闲置率显著，可能因产能规划过度或任务分配不合理。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解决方案：减少质检设备数量或合并质检工序；根据搬运峰值需求动态调配人力，降低闲置成本。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2.?成本与空间投入较大：总投入32万元、占地137平，较资源消耗偏高。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解决方案：重新评估设备选型，优先选择高性价比设备；优化布局，压缩冗余空间，提升单位面积产能。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后期实验：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?生产目标未达成：原因在于设备配置与人员分工不合理，生产线各环节产能不匹配。后续可重新评估各工序生产耗时与设备效率，优化设备数量与型号，调整工人排班与任务分配，运用装配线平衡方法计算各工位标准作业时间，均衡产能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2.?搬运效率低下：搬运路径规划欠佳，导致搬运1工作量过大且存在无效搬运。可通过重新绘制作业相关图，结合SLP分析，调整车间布局，将关联紧密的工序与设备就近布置，缩短搬运距离，减少搬运次数。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3.?设备与人员闲置率高：根源在于生产流程设计不科学，质检环节与生产环节脱节。需优化工艺流程，将质检工序前置或嵌入生产流程，实时监控产品质量，减少质检等待时间。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两次实验对比：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从 失败实验 成功实验 差异原因 来看，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第一次实验超额完成（超产34%左右）后期实验的生产目标 未达标（A、B零件均产量不足）  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搬运效率 总次数967次，总次数1146次，集中于搬运1（1126次）分散至3组搬运工 成功实验通过多区域搬运分工与循环路径设计，减少无效搬运与单一环节压力。 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资源闲置率 机器闲置率17.67%，质检闲置47.52% 机器闲置率33.63%，质检闲置64.97%-65.58% 成功实验虽提升产能，但设备与人力配置过度，导致闲置率升高；失败实验则因产能不足掩盖资源浪费问题。 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成本与空间 投入32万元，占地137平   投入19万元，占地91平 ，成本更高。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2"/>
        </w:trPr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实验收获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通过本次实验，我完整经历了制造业设施设备规划从设计到实践的全过程，深刻认识到科学规划对生产运营的关键作用。在理论层面，将SLP要素、作业相关图、装配线平衡等抽象概念转化为实际操作，强化了对设施规划原理的理解；在实践层面，熟练掌握了运用实验教学软件进行设备采购、布局设计与动线规划的方法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面对实验失败暴露的问题，学会了从生产流程、资源配置、布局规划等多维度分析原因，掌握了针对性的优化策略，提升了问题解决与系统优化能力。同时，也意识到成本控制、效率提升需综合考虑各环节协同性，为今后从事制造业规划、生产管理等工作积累了宝贵的经验教训，明确了持续优化与改进的方向。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/>
        </w:trPr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教师评分（等级）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95</w:t>
            </w:r>
          </w:p>
        </w:tc>
      </w:tr>
    </w:tbl>
    <w:p>
      <w:pPr>
        <w:spacing w:after="120"/>
        <w:jc w:val="both"/>
        <w:rPr>
          <w:rFonts w:ascii="黑体" w:eastAsia="黑体" w:hAnsi="宋体"/>
          <w:sz w:val="32"/>
          <w:szCs w:val="32"/>
        </w:rPr>
      </w:pPr>
    </w:p>
    <w:p>
      <w:pPr>
        <w:rPr>
          <w:sz w:val="11"/>
          <w:szCs w:val="11"/>
        </w:rPr>
      </w:pPr>
    </w:p>
    <w:sectPr>
      <w:footerReference w:type="even" r:id="rId7"/>
      <w:footerReference w:type="default" r:id="rId8"/>
      <w:pgSz w:w="11906" w:h="16838"/>
      <w:pgMar w:top="1440" w:right="1800" w:bottom="1440" w:left="1800" w:header="851" w:footer="992" w:gutter="0"/>
      <w:pgNumType w:start="0"/>
      <w:cols w:num="1" w:space="425"/>
      <w:titlePg/>
      <w:docGrid w:type="lines" w:linePitch="312" w:charSpace="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date="0001-01-01T00:00:00Z">
    <w:p>
      <w:pPr>
        <w:pStyle w:val="CommentText"/>
      </w:pPr>
      <w:r>
        <w:rPr>
          <w:rStyle w:val="CommentReference"/>
        </w:rPr>
        <w:annotationRef/>
      </w:r>
      <w:r>
        <w:t>image.png</w:t>
      </w:r>
    </w:p>
  </w:comment>
  <w:comment w:id="2" w:date="0001-01-01T00:00:00Z">
    <w:p>
      <w:pPr>
        <w:pStyle w:val="CommentText"/>
      </w:pPr>
      <w:r>
        <w:rPr>
          <w:rStyle w:val="CommentReference"/>
        </w:rPr>
        <w:annotationRef/>
      </w:r>
      <w:r>
        <w:t>image.png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</w:p>
  <w:p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m:mathPr>
    <m:mathFont m:val="Cambria Math"/>
  </m:math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jk2MjA4YjE0Y2FlZjkyNjNmNzBhZTU2YWRkYmFlYWQifQ=="/>
  </w:docVars>
  <w:themeFontLang w:val="en-US" w:eastAsia="zh-C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semiHidden="0" w:uiPriority="0" w:unhideWhenUsed="0" w:qFormat="1"/>
    <w:lsdException w:name="footer" w:semiHidden="0" w:uiPriority="0" w:unhideWhenUsed="0"/>
    <w:lsdException w:name="index heading" w:uiPriority="0"/>
    <w:lsdException w:name="caption" w:uiPriority="0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uiPriority="0"/>
    <w:lsdException w:name="line number" w:uiPriority="0"/>
    <w:lsdException w:name="page number" w:semiHidden="0" w:uiPriority="0" w:unhideWhenUsed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semiHidden="0" w:uiPriority="0" w:unhideWhenUsed="0"/>
    <w:lsdException w:name="List 2" w:uiPriority="0"/>
    <w:lsdException w:name="List 3" w:uiPriority="0"/>
    <w:lsdException w:name="List 4" w:semiHidden="0" w:uiPriority="0" w:unhideWhenUsed="0"/>
    <w:lsdException w:name="List 5" w:semiHidden="0" w:uiPriority="0" w:unhideWhenUsed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E-mail Signature" w:uiPriority="0"/>
    <w:lsdException w:name="Normal (Web)" w:uiPriority="0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semiHidden="0" w:uiPriority="0" w:unhideWhenUsed="0"/>
    <w:lsdException w:name="Table Subtle 2" w:uiPriority="0"/>
    <w:lsdException w:name="Table Web 1" w:uiPriority="0"/>
    <w:lsdException w:name="Table Web 2" w:semiHidden="0" w:uiPriority="0" w:unhideWhenUsed="0"/>
    <w:lsdException w:name="Table Web 3" w:semiHidden="0" w:uiPriority="0" w:unhideWhenUsed="0"/>
    <w:lsdException w:name="Balloon Text" w:uiPriority="0"/>
    <w:lsdException w:name="Table Grid" w:semiHidden="0" w:uiPriority="0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customStyle="1" w:styleId="a">
    <w:name w:val="页眉 字符"/>
    <w:link w:val="Header"/>
    <w:rPr>
      <w:kern w:val="2"/>
      <w:sz w:val="18"/>
      <w:szCs w:val="18"/>
    </w:rPr>
  </w:style>
  <w:style w:type="paragraph" w:styleId="CommentText">
    <w:name w:val="annotation text"/>
    <w:basedOn w:val="Normal"/>
    <w:rsid w:val="00805BCE"/>
    <w:rPr>
      <w:sz w:val="20"/>
      <w:szCs w:val="20"/>
    </w:rPr>
  </w:style>
  <w:style w:type="character" w:styleId="CommentReference">
    <w:name w:val="annotation reference"/>
    <w:basedOn w:val="DefaultParagraphFont"/>
    <w:rsid w:val="00805BCE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comments" Target="comments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D0FB7-C7C1-4EA9-8CD8-7AE2889951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</Words>
  <Characters>68</Characters>
  <Application>Microsoft Office Word</Application>
  <DocSecurity>0</DocSecurity>
  <Lines>12</Lines>
  <Paragraphs>3</Paragraphs>
  <ScaleCrop>false</ScaleCrop>
  <Company>zy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南京审计学院</dc:title>
  <dc:creator>a</dc:creator>
  <cp:lastModifiedBy>秦新国</cp:lastModifiedBy>
  <cp:revision>2</cp:revision>
  <cp:lastPrinted>2007-02-27T18:25:00Z</cp:lastPrinted>
  <dcterms:created xsi:type="dcterms:W3CDTF">2023-03-09T01:25:00Z</dcterms:created>
  <dcterms:modified xsi:type="dcterms:W3CDTF">2023-03-10T01:08:36Z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A1A1DC8AB81246829B6E3A2EB9D7BF9A</vt:lpwstr>
  </property>
  <property fmtid="{D5CDD505-2E9C-101B-9397-08002B2CF9AE}" pid="3" name="KSOProductBuildVer">
    <vt:lpwstr>2052-11.1.0.13703</vt:lpwstr>
  </property>
</Properties>
</file>